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64" w:rsidRDefault="00446364" w:rsidP="000F11A3">
      <w:pPr>
        <w:ind w:right="-284"/>
      </w:pPr>
    </w:p>
    <w:p w:rsidR="007E728D" w:rsidRDefault="007E728D" w:rsidP="007E728D">
      <w:pPr>
        <w:widowControl/>
        <w:autoSpaceDE/>
        <w:autoSpaceDN/>
        <w:spacing w:after="266" w:line="397" w:lineRule="auto"/>
        <w:ind w:right="11"/>
      </w:pPr>
    </w:p>
    <w:p w:rsidR="0008276A" w:rsidRDefault="0008276A" w:rsidP="007E728D">
      <w:pPr>
        <w:widowControl/>
        <w:autoSpaceDE/>
        <w:autoSpaceDN/>
        <w:spacing w:after="266" w:line="397" w:lineRule="auto"/>
        <w:ind w:right="11"/>
      </w:pPr>
      <w:r>
        <w:t>Model SAMR</w:t>
      </w:r>
    </w:p>
    <w:p w:rsidR="0008276A" w:rsidRDefault="0008276A" w:rsidP="007E728D">
      <w:pPr>
        <w:spacing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Kluczem do optymalnego włączania technologii w proces dydaktyczny jest uzmysłowienie sobie, jaki cel realizuje wybrane narzędzie TIK. </w:t>
      </w:r>
      <w:hyperlink r:id="rId8"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 xml:space="preserve">Ruben R. </w:t>
        </w:r>
        <w:proofErr w:type="spellStart"/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>Puentedura</w:t>
        </w:r>
        <w:proofErr w:type="spellEnd"/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 xml:space="preserve"> prezentuje na swoim blogu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model SAMR, opisujący cztery kolejne etapy włączania nowoczesnych technologii w proces edukacyjny. Model ten daje ci możliwość refleksji i odpowiedzenia na pytanie, dlaczego używasz określonej technologii; pomoże ci też stworzyć zadania z wykorzystaniem TIK, które będą rozwijały poznawczo uczniów i pozwolą im zebrać bogate doświadczenia edukacyjne.</w:t>
      </w:r>
    </w:p>
    <w:p w:rsidR="007E728D" w:rsidRDefault="007E728D" w:rsidP="007E728D">
      <w:pPr>
        <w:spacing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</w:p>
    <w:p w:rsidR="007E728D" w:rsidRDefault="007E728D" w:rsidP="007E728D">
      <w:pPr>
        <w:spacing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Verdana" w:eastAsia="Verdana" w:hAnsi="Verdana" w:cs="Verdana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7B69A867" wp14:editId="1F6E608B">
            <wp:simplePos x="0" y="0"/>
            <wp:positionH relativeFrom="column">
              <wp:posOffset>0</wp:posOffset>
            </wp:positionH>
            <wp:positionV relativeFrom="paragraph">
              <wp:posOffset>200025</wp:posOffset>
            </wp:positionV>
            <wp:extent cx="5086985" cy="4003675"/>
            <wp:effectExtent l="0" t="0" r="0" b="0"/>
            <wp:wrapSquare wrapText="bothSides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4003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728D" w:rsidRDefault="007E728D" w:rsidP="007E728D">
      <w:pPr>
        <w:spacing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proofErr w:type="spellStart"/>
      <w:r>
        <w:rPr>
          <w:b/>
          <w:color w:val="333333"/>
          <w:highlight w:val="white"/>
        </w:rPr>
        <w:t>S</w:t>
      </w:r>
      <w:r>
        <w:rPr>
          <w:color w:val="333333"/>
          <w:highlight w:val="white"/>
        </w:rPr>
        <w:t>ubstitution</w:t>
      </w:r>
      <w:proofErr w:type="spellEnd"/>
    </w:p>
    <w:p w:rsidR="0008276A" w:rsidRDefault="0008276A" w:rsidP="007E728D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color w:val="333333"/>
          <w:highlight w:val="white"/>
        </w:rPr>
        <w:t xml:space="preserve">Pierwszy, najniższy poziom zastosowania nowoczesnych technologii w klasie, to </w:t>
      </w:r>
      <w:r>
        <w:rPr>
          <w:b/>
          <w:color w:val="333333"/>
          <w:highlight w:val="white"/>
        </w:rPr>
        <w:t xml:space="preserve">zastąpienie </w:t>
      </w:r>
      <w:r>
        <w:rPr>
          <w:color w:val="333333"/>
          <w:highlight w:val="white"/>
        </w:rPr>
        <w:t>(</w:t>
      </w:r>
      <w:proofErr w:type="spellStart"/>
      <w:r>
        <w:rPr>
          <w:color w:val="333333"/>
          <w:highlight w:val="white"/>
        </w:rPr>
        <w:t>substitution</w:t>
      </w:r>
      <w:proofErr w:type="spellEnd"/>
      <w:r>
        <w:rPr>
          <w:color w:val="333333"/>
          <w:highlight w:val="white"/>
        </w:rPr>
        <w:t>). Polega na tym, że nauczyciel stosuje TIK, które zastępują inne rozwiązanie bez funkcjonalnej zmiany. Innymi słowy, to co robi z użyciem TIK, mógłby równie dobrze zrobić bez tej technologii. Jest to np. sytuacja, w której tradycyjny podręcznik zostaje zastąpiony tabletem, tablica i kreda slajdami prezentacji PowerPoint</w:t>
      </w: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proofErr w:type="spellStart"/>
      <w:r>
        <w:rPr>
          <w:b/>
          <w:color w:val="333333"/>
          <w:highlight w:val="white"/>
        </w:rPr>
        <w:t>A</w:t>
      </w:r>
      <w:r>
        <w:rPr>
          <w:color w:val="333333"/>
          <w:highlight w:val="white"/>
        </w:rPr>
        <w:t>ugmentation</w:t>
      </w:r>
      <w:proofErr w:type="spellEnd"/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Drugim poziomem jest </w:t>
      </w:r>
      <w:r>
        <w:rPr>
          <w:b/>
          <w:color w:val="333333"/>
          <w:highlight w:val="white"/>
        </w:rPr>
        <w:t xml:space="preserve">rozszerzenie </w:t>
      </w:r>
      <w:r>
        <w:rPr>
          <w:color w:val="333333"/>
          <w:highlight w:val="white"/>
        </w:rPr>
        <w:t>(</w:t>
      </w:r>
      <w:proofErr w:type="spellStart"/>
      <w:r>
        <w:rPr>
          <w:color w:val="333333"/>
          <w:highlight w:val="white"/>
        </w:rPr>
        <w:t>augmentation</w:t>
      </w:r>
      <w:proofErr w:type="spellEnd"/>
      <w:r>
        <w:rPr>
          <w:color w:val="333333"/>
          <w:highlight w:val="white"/>
        </w:rPr>
        <w:t xml:space="preserve">). Używanie TIK na tym poziomie zastępuje </w:t>
      </w:r>
      <w:r>
        <w:rPr>
          <w:color w:val="333333"/>
          <w:highlight w:val="white"/>
        </w:rPr>
        <w:lastRenderedPageBreak/>
        <w:t>dotychczasowe analogiczne działanie, ale dodaje nową funkcjonalność. Dla przykładu: zamiast wyszukiwania słów w tradycyjnym słowniku, uczniowie używają słownika interaktywnego, ucząc się wymowy poprzez możliwość odsłuchu. W tradycyjnym, papierowym słowniku, nie ma takiej możliwości.</w:t>
      </w: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proofErr w:type="spellStart"/>
      <w:r>
        <w:rPr>
          <w:b/>
          <w:color w:val="333333"/>
          <w:highlight w:val="white"/>
        </w:rPr>
        <w:t>M</w:t>
      </w:r>
      <w:r>
        <w:rPr>
          <w:color w:val="333333"/>
          <w:highlight w:val="white"/>
        </w:rPr>
        <w:t>odification</w:t>
      </w:r>
      <w:proofErr w:type="spellEnd"/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Trzeci poziom to </w:t>
      </w:r>
      <w:r>
        <w:rPr>
          <w:b/>
          <w:color w:val="333333"/>
          <w:highlight w:val="white"/>
        </w:rPr>
        <w:t xml:space="preserve">modyfikacja </w:t>
      </w:r>
      <w:r>
        <w:rPr>
          <w:color w:val="333333"/>
          <w:highlight w:val="white"/>
        </w:rPr>
        <w:t>(</w:t>
      </w:r>
      <w:proofErr w:type="spellStart"/>
      <w:r>
        <w:rPr>
          <w:color w:val="333333"/>
          <w:highlight w:val="white"/>
        </w:rPr>
        <w:t>modification</w:t>
      </w:r>
      <w:proofErr w:type="spellEnd"/>
      <w:r>
        <w:rPr>
          <w:color w:val="333333"/>
          <w:highlight w:val="white"/>
        </w:rPr>
        <w:t>). Dzięki zastosowaniu nowoczesnych technologii zadanie znacząco zmienia się. Powstaje nowa jakość edukacyjna. Będzie to np. tworzenie przez uczniów kolażu z różnych elementów (tekstowych, audio i wideo), znalezionych i pobranych z sieci.</w:t>
      </w:r>
    </w:p>
    <w:p w:rsidR="007E728D" w:rsidRDefault="007E728D" w:rsidP="007E728D">
      <w:pPr>
        <w:shd w:val="clear" w:color="auto" w:fill="FFFFFF"/>
        <w:spacing w:line="276" w:lineRule="auto"/>
        <w:jc w:val="both"/>
        <w:rPr>
          <w:b/>
          <w:color w:val="333333"/>
          <w:highlight w:val="white"/>
        </w:rPr>
      </w:pPr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bookmarkStart w:id="0" w:name="_GoBack"/>
      <w:bookmarkEnd w:id="0"/>
      <w:proofErr w:type="spellStart"/>
      <w:r>
        <w:rPr>
          <w:b/>
          <w:color w:val="333333"/>
          <w:highlight w:val="white"/>
        </w:rPr>
        <w:t>R</w:t>
      </w:r>
      <w:r>
        <w:rPr>
          <w:color w:val="333333"/>
          <w:highlight w:val="white"/>
        </w:rPr>
        <w:t>edefinition</w:t>
      </w:r>
      <w:proofErr w:type="spellEnd"/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Ostatnim, najwyższym poziomem jest </w:t>
      </w:r>
      <w:r>
        <w:rPr>
          <w:b/>
          <w:color w:val="333333"/>
          <w:highlight w:val="white"/>
        </w:rPr>
        <w:t xml:space="preserve">redefinicja </w:t>
      </w:r>
      <w:r>
        <w:rPr>
          <w:color w:val="333333"/>
          <w:highlight w:val="white"/>
        </w:rPr>
        <w:t>(</w:t>
      </w:r>
      <w:proofErr w:type="spellStart"/>
      <w:r>
        <w:rPr>
          <w:color w:val="333333"/>
          <w:highlight w:val="white"/>
        </w:rPr>
        <w:t>redefinition</w:t>
      </w:r>
      <w:proofErr w:type="spellEnd"/>
      <w:r>
        <w:rPr>
          <w:color w:val="333333"/>
          <w:highlight w:val="white"/>
        </w:rPr>
        <w:t>). Na tym etapie stosowanie TIK umożliwia tworzenie nowych zadań, wcześniej zupełnie niemożliwych do wykonania. Takim zadaniem jest np. umieszczenie wpisu na blogu lub stronie internetowej,</w:t>
      </w:r>
    </w:p>
    <w:p w:rsidR="0008276A" w:rsidRDefault="0008276A" w:rsidP="007E728D">
      <w:pPr>
        <w:shd w:val="clear" w:color="auto" w:fill="FFFFFF"/>
        <w:spacing w:line="276" w:lineRule="auto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>a tym samym udostępnienie go całemu światu i otrzymywanie informacji zwrotnej na jego temat w postaci komentarzy.</w:t>
      </w:r>
    </w:p>
    <w:p w:rsidR="0008276A" w:rsidRDefault="0008276A" w:rsidP="00A5168E">
      <w:pPr>
        <w:widowControl/>
        <w:autoSpaceDE/>
        <w:autoSpaceDN/>
        <w:spacing w:after="266" w:line="397" w:lineRule="auto"/>
        <w:ind w:left="705" w:right="11"/>
      </w:pPr>
    </w:p>
    <w:p w:rsidR="0008276A" w:rsidRDefault="0008276A" w:rsidP="00A5168E">
      <w:pPr>
        <w:widowControl/>
        <w:autoSpaceDE/>
        <w:autoSpaceDN/>
        <w:spacing w:after="266" w:line="397" w:lineRule="auto"/>
        <w:ind w:left="705" w:right="11"/>
      </w:pPr>
    </w:p>
    <w:p w:rsidR="0008276A" w:rsidRDefault="0008276A" w:rsidP="00A5168E">
      <w:pPr>
        <w:widowControl/>
        <w:autoSpaceDE/>
        <w:autoSpaceDN/>
        <w:spacing w:after="266" w:line="397" w:lineRule="auto"/>
        <w:ind w:left="705" w:right="11"/>
      </w:pPr>
    </w:p>
    <w:p w:rsidR="0008276A" w:rsidRDefault="0008276A" w:rsidP="00A5168E">
      <w:pPr>
        <w:widowControl/>
        <w:autoSpaceDE/>
        <w:autoSpaceDN/>
        <w:spacing w:after="266" w:line="397" w:lineRule="auto"/>
        <w:ind w:left="705" w:right="11"/>
      </w:pPr>
    </w:p>
    <w:p w:rsidR="0008276A" w:rsidRPr="002A5693" w:rsidRDefault="0008276A" w:rsidP="00A5168E">
      <w:pPr>
        <w:widowControl/>
        <w:autoSpaceDE/>
        <w:autoSpaceDN/>
        <w:spacing w:after="266" w:line="397" w:lineRule="auto"/>
        <w:ind w:left="705" w:right="11"/>
      </w:pPr>
    </w:p>
    <w:sectPr w:rsidR="0008276A" w:rsidRPr="002A5693" w:rsidSect="000F11A3">
      <w:headerReference w:type="default" r:id="rId10"/>
      <w:footerReference w:type="default" r:id="rId11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BD7" w:rsidRDefault="00230BD7" w:rsidP="006B4D13">
      <w:r>
        <w:separator/>
      </w:r>
    </w:p>
  </w:endnote>
  <w:endnote w:type="continuationSeparator" w:id="0">
    <w:p w:rsidR="00230BD7" w:rsidRDefault="00230BD7" w:rsidP="006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BD7" w:rsidRDefault="00230BD7" w:rsidP="006B4D13">
      <w:r>
        <w:separator/>
      </w:r>
    </w:p>
  </w:footnote>
  <w:footnote w:type="continuationSeparator" w:id="0">
    <w:p w:rsidR="00230BD7" w:rsidRDefault="00230BD7" w:rsidP="006B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1" w15:restartNumberingAfterBreak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 w15:restartNumberingAfterBreak="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7" w15:restartNumberingAfterBreak="0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8" w15:restartNumberingAfterBreak="0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3" w15:restartNumberingAfterBreak="0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5" w15:restartNumberingAfterBreak="0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6" w15:restartNumberingAfterBreak="0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29" w15:restartNumberingAfterBreak="0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0" w15:restartNumberingAfterBreak="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32" w15:restartNumberingAfterBreak="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33" w15:restartNumberingAfterBreak="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4" w15:restartNumberingAfterBreak="0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36" w15:restartNumberingAfterBreak="0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7" w15:restartNumberingAfterBreak="0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38" w15:restartNumberingAfterBreak="0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1"/>
  </w:num>
  <w:num w:numId="2">
    <w:abstractNumId w:val="14"/>
  </w:num>
  <w:num w:numId="3">
    <w:abstractNumId w:val="24"/>
  </w:num>
  <w:num w:numId="4">
    <w:abstractNumId w:val="22"/>
  </w:num>
  <w:num w:numId="5">
    <w:abstractNumId w:val="3"/>
  </w:num>
  <w:num w:numId="6">
    <w:abstractNumId w:val="7"/>
  </w:num>
  <w:num w:numId="7">
    <w:abstractNumId w:val="33"/>
  </w:num>
  <w:num w:numId="8">
    <w:abstractNumId w:val="10"/>
  </w:num>
  <w:num w:numId="9">
    <w:abstractNumId w:val="25"/>
  </w:num>
  <w:num w:numId="10">
    <w:abstractNumId w:val="31"/>
  </w:num>
  <w:num w:numId="11">
    <w:abstractNumId w:val="35"/>
  </w:num>
  <w:num w:numId="12">
    <w:abstractNumId w:val="4"/>
  </w:num>
  <w:num w:numId="13">
    <w:abstractNumId w:val="38"/>
  </w:num>
  <w:num w:numId="14">
    <w:abstractNumId w:val="32"/>
  </w:num>
  <w:num w:numId="15">
    <w:abstractNumId w:val="17"/>
  </w:num>
  <w:num w:numId="16">
    <w:abstractNumId w:val="2"/>
  </w:num>
  <w:num w:numId="17">
    <w:abstractNumId w:val="15"/>
  </w:num>
  <w:num w:numId="18">
    <w:abstractNumId w:val="36"/>
  </w:num>
  <w:num w:numId="19">
    <w:abstractNumId w:val="21"/>
  </w:num>
  <w:num w:numId="20">
    <w:abstractNumId w:val="1"/>
  </w:num>
  <w:num w:numId="21">
    <w:abstractNumId w:val="30"/>
  </w:num>
  <w:num w:numId="22">
    <w:abstractNumId w:val="16"/>
  </w:num>
  <w:num w:numId="23">
    <w:abstractNumId w:val="26"/>
  </w:num>
  <w:num w:numId="24">
    <w:abstractNumId w:val="8"/>
  </w:num>
  <w:num w:numId="25">
    <w:abstractNumId w:val="13"/>
  </w:num>
  <w:num w:numId="26">
    <w:abstractNumId w:val="19"/>
  </w:num>
  <w:num w:numId="27">
    <w:abstractNumId w:val="37"/>
  </w:num>
  <w:num w:numId="28">
    <w:abstractNumId w:val="29"/>
  </w:num>
  <w:num w:numId="29">
    <w:abstractNumId w:val="28"/>
  </w:num>
  <w:num w:numId="30">
    <w:abstractNumId w:val="27"/>
  </w:num>
  <w:num w:numId="31">
    <w:abstractNumId w:val="18"/>
  </w:num>
  <w:num w:numId="32">
    <w:abstractNumId w:val="9"/>
  </w:num>
  <w:num w:numId="33">
    <w:abstractNumId w:val="20"/>
  </w:num>
  <w:num w:numId="34">
    <w:abstractNumId w:val="34"/>
  </w:num>
  <w:num w:numId="35">
    <w:abstractNumId w:val="5"/>
  </w:num>
  <w:num w:numId="36">
    <w:abstractNumId w:val="0"/>
  </w:num>
  <w:num w:numId="37">
    <w:abstractNumId w:val="12"/>
  </w:num>
  <w:num w:numId="38">
    <w:abstractNumId w:val="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3"/>
    <w:rsid w:val="000037E7"/>
    <w:rsid w:val="000414E5"/>
    <w:rsid w:val="0008276A"/>
    <w:rsid w:val="000C4D15"/>
    <w:rsid w:val="000F071F"/>
    <w:rsid w:val="000F11A3"/>
    <w:rsid w:val="001127B7"/>
    <w:rsid w:val="00114F0D"/>
    <w:rsid w:val="001E263D"/>
    <w:rsid w:val="00207F08"/>
    <w:rsid w:val="00230BD7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7E728D"/>
    <w:rsid w:val="008140DB"/>
    <w:rsid w:val="0082506F"/>
    <w:rsid w:val="00825791"/>
    <w:rsid w:val="00831314"/>
    <w:rsid w:val="008458F9"/>
    <w:rsid w:val="00872A02"/>
    <w:rsid w:val="00917DF3"/>
    <w:rsid w:val="00936581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5168E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516DA"/>
    <w:rsid w:val="00F81649"/>
    <w:rsid w:val="00FD4A05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4899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4D13"/>
  </w:style>
  <w:style w:type="paragraph" w:styleId="Stopka">
    <w:name w:val="footer"/>
    <w:basedOn w:val="Normalny"/>
    <w:link w:val="StopkaZnak"/>
    <w:uiPriority w:val="99"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Nagwek51">
    <w:name w:val="Nagłówek 51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ppasus.com/blo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microsoft.com/office/2007/relationships/hdphoto" Target="media/hdphoto1.wdp"/><Relationship Id="rId1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05E9A-27E8-4545-BFAD-C35C6E0E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2</cp:revision>
  <dcterms:created xsi:type="dcterms:W3CDTF">2019-04-16T18:58:00Z</dcterms:created>
  <dcterms:modified xsi:type="dcterms:W3CDTF">2019-04-16T18:58:00Z</dcterms:modified>
</cp:coreProperties>
</file>